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ind w:left="284" w:right="425"/>
        <w:jc w:val="center"/>
        <w:rPr>
          <w:rFonts w:ascii="Arial" w:hAnsi="Arial" w:cs="Arial"/>
          <w:b/>
          <w:i/>
        </w:rPr>
      </w:pPr>
    </w:p>
    <w:p>
      <w:pPr>
        <w:spacing w:after="0" w:line="240" w:lineRule="auto"/>
        <w:ind w:left="284" w:right="425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Radionica</w:t>
      </w:r>
    </w:p>
    <w:p>
      <w:pPr>
        <w:spacing w:after="0" w:line="240" w:lineRule="auto"/>
        <w:ind w:left="284" w:right="425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„BIPARTIZAM KAO ALAT USPJEHA“</w:t>
      </w:r>
    </w:p>
    <w:p>
      <w:pPr>
        <w:spacing w:after="0" w:line="240" w:lineRule="auto"/>
        <w:ind w:left="284" w:right="425"/>
        <w:jc w:val="center"/>
        <w:rPr>
          <w:rFonts w:ascii="Arial" w:hAnsi="Arial" w:cs="Arial"/>
          <w:b/>
          <w:i/>
          <w:u w:val="single"/>
        </w:rPr>
      </w:pPr>
      <w:proofErr w:type="spellStart"/>
      <w:r>
        <w:rPr>
          <w:rFonts w:ascii="Arial" w:hAnsi="Arial" w:cs="Arial"/>
          <w:b/>
          <w:i/>
          <w:u w:val="single"/>
        </w:rPr>
        <w:t>12</w:t>
      </w:r>
      <w:proofErr w:type="spellEnd"/>
      <w:r>
        <w:rPr>
          <w:rFonts w:ascii="Arial" w:hAnsi="Arial" w:cs="Arial"/>
          <w:b/>
          <w:i/>
          <w:u w:val="single"/>
        </w:rPr>
        <w:t xml:space="preserve">. veljače </w:t>
      </w:r>
      <w:proofErr w:type="spellStart"/>
      <w:r>
        <w:rPr>
          <w:rFonts w:ascii="Arial" w:hAnsi="Arial" w:cs="Arial"/>
          <w:b/>
          <w:i/>
          <w:u w:val="single"/>
        </w:rPr>
        <w:t>2015</w:t>
      </w:r>
      <w:proofErr w:type="spellEnd"/>
      <w:r>
        <w:rPr>
          <w:rFonts w:ascii="Arial" w:hAnsi="Arial" w:cs="Arial"/>
          <w:b/>
          <w:i/>
          <w:u w:val="single"/>
        </w:rPr>
        <w:t>. godine,</w:t>
      </w:r>
    </w:p>
    <w:p>
      <w:pPr>
        <w:spacing w:after="0" w:line="240" w:lineRule="auto"/>
        <w:ind w:left="284" w:right="425"/>
        <w:jc w:val="center"/>
        <w:rPr>
          <w:rFonts w:ascii="Arial" w:hAnsi="Arial" w:cs="Arial"/>
          <w:b/>
          <w:i/>
          <w:u w:val="single"/>
        </w:rPr>
      </w:pPr>
    </w:p>
    <w:p>
      <w:pPr>
        <w:spacing w:after="0" w:line="240" w:lineRule="auto"/>
        <w:ind w:left="284" w:right="425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hotel </w:t>
      </w:r>
      <w:proofErr w:type="spellStart"/>
      <w:r>
        <w:rPr>
          <w:rFonts w:ascii="Arial" w:hAnsi="Arial" w:cs="Arial"/>
          <w:b/>
          <w:i/>
          <w:u w:val="single"/>
        </w:rPr>
        <w:t>Waldinger</w:t>
      </w:r>
      <w:proofErr w:type="spellEnd"/>
      <w:r>
        <w:rPr>
          <w:rFonts w:ascii="Arial" w:hAnsi="Arial" w:cs="Arial"/>
          <w:b/>
          <w:i/>
          <w:u w:val="single"/>
        </w:rPr>
        <w:t xml:space="preserve">, Županijska 8, Osijek </w:t>
      </w:r>
    </w:p>
    <w:p>
      <w:pPr>
        <w:spacing w:after="0"/>
        <w:ind w:left="284" w:right="425"/>
        <w:rPr>
          <w:rFonts w:ascii="Arial" w:hAnsi="Arial" w:cs="Arial"/>
          <w:i/>
          <w:u w:val="single"/>
        </w:rPr>
      </w:pPr>
    </w:p>
    <w:p>
      <w:pPr>
        <w:spacing w:after="0"/>
        <w:ind w:left="284" w:right="425"/>
        <w:rPr>
          <w:rFonts w:ascii="Arial" w:hAnsi="Arial" w:cs="Arial"/>
          <w:i/>
          <w:u w:val="single"/>
        </w:rPr>
      </w:pPr>
    </w:p>
    <w:p>
      <w:pPr>
        <w:spacing w:after="0"/>
        <w:ind w:left="284" w:right="425"/>
        <w:rPr>
          <w:rFonts w:ascii="Arial" w:hAnsi="Arial" w:cs="Arial"/>
          <w:i/>
          <w:u w:val="singl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295"/>
      </w:tblGrid>
      <w:tr>
        <w:tc>
          <w:tcPr>
            <w:tcW w:w="2268" w:type="dxa"/>
            <w:hideMark/>
          </w:tcPr>
          <w:p>
            <w:pPr>
              <w:spacing w:after="120"/>
              <w:ind w:right="42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9:30 – 10:00</w:t>
            </w:r>
          </w:p>
        </w:tc>
        <w:tc>
          <w:tcPr>
            <w:tcW w:w="8295" w:type="dxa"/>
          </w:tcPr>
          <w:p>
            <w:pPr>
              <w:ind w:right="425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Registracija </w:t>
            </w:r>
          </w:p>
          <w:p>
            <w:pPr>
              <w:spacing w:after="120"/>
              <w:ind w:right="425"/>
              <w:rPr>
                <w:rFonts w:ascii="Arial" w:hAnsi="Arial" w:cs="Arial"/>
              </w:rPr>
            </w:pPr>
          </w:p>
        </w:tc>
      </w:tr>
      <w:tr>
        <w:tc>
          <w:tcPr>
            <w:tcW w:w="2268" w:type="dxa"/>
          </w:tcPr>
          <w:p>
            <w:pPr>
              <w:ind w:right="425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10:00 - 10:15 </w:t>
            </w:r>
            <w:r>
              <w:rPr>
                <w:rFonts w:ascii="Arial" w:hAnsi="Arial" w:cs="Arial"/>
                <w:b/>
                <w:i/>
              </w:rPr>
              <w:tab/>
            </w:r>
          </w:p>
          <w:p>
            <w:pPr>
              <w:ind w:right="425"/>
              <w:rPr>
                <w:rFonts w:ascii="Arial" w:hAnsi="Arial" w:cs="Arial"/>
              </w:rPr>
            </w:pPr>
          </w:p>
        </w:tc>
        <w:tc>
          <w:tcPr>
            <w:tcW w:w="8295" w:type="dxa"/>
          </w:tcPr>
          <w:p>
            <w:pPr>
              <w:ind w:right="425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Uvodna obraćanja</w:t>
            </w:r>
          </w:p>
          <w:p>
            <w:pPr>
              <w:ind w:right="425"/>
              <w:rPr>
                <w:rFonts w:ascii="Arial" w:hAnsi="Arial" w:cs="Arial"/>
                <w:b/>
                <w:i/>
              </w:rPr>
            </w:pPr>
          </w:p>
          <w:p>
            <w:pPr>
              <w:ind w:righ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 Sarić, Lidija Horvatić i Dijana Šobota</w:t>
            </w:r>
          </w:p>
          <w:p>
            <w:pPr>
              <w:ind w:righ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(HUP Osijek, HUP Zagreb i SSSH)</w:t>
            </w:r>
          </w:p>
          <w:p>
            <w:pPr>
              <w:ind w:right="425"/>
              <w:rPr>
                <w:rFonts w:ascii="Arial" w:hAnsi="Arial" w:cs="Arial"/>
              </w:rPr>
            </w:pPr>
          </w:p>
        </w:tc>
      </w:tr>
      <w:tr>
        <w:tc>
          <w:tcPr>
            <w:tcW w:w="2268" w:type="dxa"/>
            <w:hideMark/>
          </w:tcPr>
          <w:p>
            <w:pPr>
              <w:ind w:right="42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10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proofErr w:type="spellStart"/>
            <w:r>
              <w:rPr>
                <w:rFonts w:ascii="Arial" w:hAnsi="Arial" w:cs="Arial"/>
                <w:b/>
                <w:i/>
              </w:rPr>
              <w:t>15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i/>
              </w:rPr>
              <w:t>10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proofErr w:type="spellStart"/>
            <w:r>
              <w:rPr>
                <w:rFonts w:ascii="Arial" w:hAnsi="Arial" w:cs="Arial"/>
                <w:b/>
                <w:i/>
              </w:rPr>
              <w:t>45</w:t>
            </w:r>
            <w:proofErr w:type="spellEnd"/>
          </w:p>
        </w:tc>
        <w:tc>
          <w:tcPr>
            <w:tcW w:w="8295" w:type="dxa"/>
          </w:tcPr>
          <w:p>
            <w:pPr>
              <w:ind w:right="425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Bipartizam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u Republici Hrvatskoj: kritički osvrt, malo povijesti i nešto budućnosti</w:t>
            </w:r>
          </w:p>
          <w:p>
            <w:pPr>
              <w:ind w:right="425"/>
              <w:rPr>
                <w:rFonts w:ascii="Arial" w:hAnsi="Arial" w:cs="Arial"/>
                <w:b/>
                <w:i/>
              </w:rPr>
            </w:pPr>
          </w:p>
          <w:p>
            <w:pPr>
              <w:tabs>
                <w:tab w:val="left" w:pos="8396"/>
              </w:tabs>
              <w:ind w:right="425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Viktor Gotovac, docent, </w:t>
            </w:r>
            <w:r>
              <w:rPr>
                <w:rFonts w:ascii="Arial" w:hAnsi="Arial" w:cs="Arial"/>
                <w:i/>
              </w:rPr>
              <w:t>Pravni fakultet Sveučilišta u Zagrebu</w:t>
            </w:r>
          </w:p>
          <w:p>
            <w:pPr>
              <w:ind w:right="141"/>
              <w:rPr>
                <w:rFonts w:ascii="Arial" w:hAnsi="Arial" w:cs="Arial"/>
              </w:rPr>
            </w:pPr>
          </w:p>
        </w:tc>
      </w:tr>
      <w:tr>
        <w:tc>
          <w:tcPr>
            <w:tcW w:w="2268" w:type="dxa"/>
            <w:hideMark/>
          </w:tcPr>
          <w:p>
            <w:pPr>
              <w:ind w:right="425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10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proofErr w:type="spellStart"/>
            <w:r>
              <w:rPr>
                <w:rFonts w:ascii="Arial" w:hAnsi="Arial" w:cs="Arial"/>
                <w:b/>
                <w:i/>
              </w:rPr>
              <w:t>45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i/>
              </w:rPr>
              <w:t>11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proofErr w:type="spellStart"/>
            <w:r>
              <w:rPr>
                <w:rFonts w:ascii="Arial" w:hAnsi="Arial" w:cs="Arial"/>
                <w:b/>
                <w:i/>
              </w:rPr>
              <w:t>30</w:t>
            </w:r>
            <w:proofErr w:type="spellEnd"/>
          </w:p>
        </w:tc>
        <w:tc>
          <w:tcPr>
            <w:tcW w:w="8295" w:type="dxa"/>
          </w:tcPr>
          <w:p>
            <w:pPr>
              <w:ind w:right="425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Uloga EU socijalnih partnera i značaj Okvirnih sporazuma </w:t>
            </w:r>
          </w:p>
          <w:p>
            <w:pPr>
              <w:ind w:right="425"/>
              <w:rPr>
                <w:rFonts w:ascii="Arial" w:hAnsi="Arial" w:cs="Arial"/>
                <w:b/>
                <w:i/>
              </w:rPr>
            </w:pPr>
          </w:p>
          <w:p>
            <w:pPr>
              <w:ind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Lidija Horvatić, direktorica, </w:t>
            </w:r>
            <w:r>
              <w:rPr>
                <w:rFonts w:ascii="Arial" w:hAnsi="Arial" w:cs="Arial"/>
                <w:i/>
              </w:rPr>
              <w:t>Politike EU i međunarodni poslovi (HUP)</w:t>
            </w:r>
            <w:r>
              <w:rPr>
                <w:rFonts w:ascii="Arial" w:hAnsi="Arial" w:cs="Arial"/>
              </w:rPr>
              <w:t xml:space="preserve"> </w:t>
            </w:r>
          </w:p>
          <w:p>
            <w:pPr>
              <w:ind w:right="567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Dijana Šobota, izvršna tajnica</w:t>
            </w:r>
            <w:r>
              <w:rPr>
                <w:rFonts w:ascii="Arial" w:hAnsi="Arial" w:cs="Arial"/>
                <w:i/>
              </w:rPr>
              <w:t>; Međunarodna suradnja i edukacija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(SSSH)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  <w:p>
            <w:pPr>
              <w:ind w:right="567"/>
              <w:rPr>
                <w:rFonts w:ascii="Arial" w:hAnsi="Arial" w:cs="Arial"/>
                <w:b/>
                <w:i/>
              </w:rPr>
            </w:pPr>
          </w:p>
        </w:tc>
      </w:tr>
      <w:tr>
        <w:tc>
          <w:tcPr>
            <w:tcW w:w="2268" w:type="dxa"/>
            <w:hideMark/>
          </w:tcPr>
          <w:p>
            <w:pPr>
              <w:ind w:right="42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11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proofErr w:type="spellStart"/>
            <w:r>
              <w:rPr>
                <w:rFonts w:ascii="Arial" w:hAnsi="Arial" w:cs="Arial"/>
                <w:b/>
                <w:i/>
              </w:rPr>
              <w:t>30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i/>
              </w:rPr>
              <w:t>12</w:t>
            </w:r>
            <w:proofErr w:type="spellEnd"/>
            <w:r>
              <w:rPr>
                <w:rFonts w:ascii="Arial" w:hAnsi="Arial" w:cs="Arial"/>
                <w:b/>
                <w:i/>
              </w:rPr>
              <w:t>:00</w:t>
            </w:r>
          </w:p>
        </w:tc>
        <w:tc>
          <w:tcPr>
            <w:tcW w:w="8295" w:type="dxa"/>
          </w:tcPr>
          <w:p>
            <w:pPr>
              <w:tabs>
                <w:tab w:val="left" w:pos="8396"/>
              </w:tabs>
              <w:ind w:right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Stanka za kavu</w:t>
            </w:r>
          </w:p>
          <w:p>
            <w:pPr>
              <w:tabs>
                <w:tab w:val="left" w:pos="8396"/>
              </w:tabs>
              <w:ind w:right="425"/>
              <w:rPr>
                <w:rFonts w:ascii="Arial" w:hAnsi="Arial" w:cs="Arial"/>
              </w:rPr>
            </w:pPr>
          </w:p>
        </w:tc>
      </w:tr>
      <w:tr>
        <w:tc>
          <w:tcPr>
            <w:tcW w:w="2268" w:type="dxa"/>
            <w:hideMark/>
          </w:tcPr>
          <w:p>
            <w:pPr>
              <w:ind w:right="42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12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:00 - </w:t>
            </w:r>
            <w:proofErr w:type="spellStart"/>
            <w:r>
              <w:rPr>
                <w:rFonts w:ascii="Arial" w:hAnsi="Arial" w:cs="Arial"/>
                <w:b/>
                <w:i/>
              </w:rPr>
              <w:t>12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proofErr w:type="spellStart"/>
            <w:r>
              <w:rPr>
                <w:rFonts w:ascii="Arial" w:hAnsi="Arial" w:cs="Arial"/>
                <w:b/>
                <w:i/>
              </w:rPr>
              <w:t>20</w:t>
            </w:r>
            <w:proofErr w:type="spellEnd"/>
          </w:p>
        </w:tc>
        <w:tc>
          <w:tcPr>
            <w:tcW w:w="8295" w:type="dxa"/>
          </w:tcPr>
          <w:p>
            <w:pPr>
              <w:ind w:right="425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Socijalno partnerstvo u Republici Sloveniji – pogreške i uspjesi</w:t>
            </w:r>
          </w:p>
          <w:p>
            <w:pPr>
              <w:ind w:right="425"/>
              <w:rPr>
                <w:rFonts w:ascii="Arial" w:hAnsi="Arial" w:cs="Arial"/>
                <w:b/>
                <w:i/>
              </w:rPr>
            </w:pPr>
          </w:p>
          <w:p>
            <w:pPr>
              <w:ind w:right="425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Jože Smole, glavni tajnik</w:t>
            </w:r>
            <w:r>
              <w:rPr>
                <w:rFonts w:ascii="Arial" w:hAnsi="Arial" w:cs="Arial"/>
                <w:i/>
              </w:rPr>
              <w:t>, Udruženje poslodavaca Slovenije (ZDS)</w:t>
            </w:r>
          </w:p>
          <w:p>
            <w:pPr>
              <w:ind w:right="425"/>
              <w:rPr>
                <w:rFonts w:ascii="Arial" w:hAnsi="Arial" w:cs="Arial"/>
              </w:rPr>
            </w:pPr>
          </w:p>
        </w:tc>
      </w:tr>
      <w:tr>
        <w:tc>
          <w:tcPr>
            <w:tcW w:w="2268" w:type="dxa"/>
            <w:hideMark/>
          </w:tcPr>
          <w:p>
            <w:pPr>
              <w:ind w:right="425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12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proofErr w:type="spellStart"/>
            <w:r>
              <w:rPr>
                <w:rFonts w:ascii="Arial" w:hAnsi="Arial" w:cs="Arial"/>
                <w:b/>
                <w:i/>
              </w:rPr>
              <w:t>20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i/>
              </w:rPr>
              <w:t>12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proofErr w:type="spellStart"/>
            <w:r>
              <w:rPr>
                <w:rFonts w:ascii="Arial" w:hAnsi="Arial" w:cs="Arial"/>
                <w:b/>
                <w:i/>
              </w:rPr>
              <w:t>45</w:t>
            </w:r>
            <w:proofErr w:type="spellEnd"/>
          </w:p>
        </w:tc>
        <w:tc>
          <w:tcPr>
            <w:tcW w:w="8295" w:type="dxa"/>
          </w:tcPr>
          <w:p>
            <w:pPr>
              <w:ind w:right="425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Značaj bipartitnih odnosa – uloga Međunarodne organizacije poslodavaca (IOE) te osvrt na </w:t>
            </w:r>
            <w:proofErr w:type="spellStart"/>
            <w:r>
              <w:rPr>
                <w:rFonts w:ascii="Arial" w:hAnsi="Arial" w:cs="Arial"/>
                <w:b/>
                <w:i/>
              </w:rPr>
              <w:t>bipartizam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u Njemačkoj</w:t>
            </w:r>
          </w:p>
          <w:p>
            <w:pPr>
              <w:ind w:right="425"/>
              <w:rPr>
                <w:rFonts w:ascii="Arial" w:hAnsi="Arial" w:cs="Arial"/>
                <w:b/>
                <w:i/>
              </w:rPr>
            </w:pPr>
          </w:p>
          <w:p>
            <w:pPr>
              <w:ind w:right="425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Natalia </w:t>
            </w:r>
            <w:proofErr w:type="spellStart"/>
            <w:r>
              <w:rPr>
                <w:rFonts w:ascii="Arial" w:hAnsi="Arial" w:cs="Arial"/>
              </w:rPr>
              <w:t>Stolz</w:t>
            </w:r>
            <w:proofErr w:type="spellEnd"/>
            <w:r>
              <w:rPr>
                <w:rFonts w:ascii="Arial" w:hAnsi="Arial" w:cs="Arial"/>
              </w:rPr>
              <w:t xml:space="preserve">,viša savjetnica, </w:t>
            </w:r>
            <w:r>
              <w:rPr>
                <w:rFonts w:ascii="Arial" w:hAnsi="Arial" w:cs="Arial"/>
                <w:i/>
              </w:rPr>
              <w:t>Politika plaća i kolektivno pregovaranje,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Konfederacija njemačkih poslodavaca (BDA)</w:t>
            </w:r>
          </w:p>
          <w:p>
            <w:pPr>
              <w:ind w:right="425"/>
              <w:rPr>
                <w:rFonts w:ascii="Arial" w:hAnsi="Arial" w:cs="Arial"/>
              </w:rPr>
            </w:pPr>
          </w:p>
        </w:tc>
      </w:tr>
      <w:tr>
        <w:tc>
          <w:tcPr>
            <w:tcW w:w="2268" w:type="dxa"/>
            <w:hideMark/>
          </w:tcPr>
          <w:p>
            <w:pPr>
              <w:ind w:right="425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12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proofErr w:type="spellStart"/>
            <w:r>
              <w:rPr>
                <w:rFonts w:ascii="Arial" w:hAnsi="Arial" w:cs="Arial"/>
                <w:b/>
                <w:i/>
              </w:rPr>
              <w:t>45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i/>
              </w:rPr>
              <w:t>13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proofErr w:type="spellStart"/>
            <w:r>
              <w:rPr>
                <w:rFonts w:ascii="Arial" w:hAnsi="Arial" w:cs="Arial"/>
                <w:b/>
                <w:i/>
              </w:rPr>
              <w:t>45</w:t>
            </w:r>
            <w:proofErr w:type="spellEnd"/>
          </w:p>
        </w:tc>
        <w:tc>
          <w:tcPr>
            <w:tcW w:w="8295" w:type="dxa"/>
          </w:tcPr>
          <w:p>
            <w:pPr>
              <w:ind w:right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Rasprava; Q&amp;A</w:t>
            </w:r>
          </w:p>
          <w:p>
            <w:pPr>
              <w:ind w:right="425"/>
              <w:rPr>
                <w:rFonts w:ascii="Arial" w:hAnsi="Arial" w:cs="Arial"/>
                <w:b/>
              </w:rPr>
            </w:pPr>
          </w:p>
        </w:tc>
        <w:bookmarkStart w:id="0" w:name="_GoBack"/>
        <w:bookmarkEnd w:id="0"/>
      </w:tr>
      <w:tr>
        <w:tc>
          <w:tcPr>
            <w:tcW w:w="2268" w:type="dxa"/>
            <w:hideMark/>
          </w:tcPr>
          <w:p>
            <w:pPr>
              <w:ind w:right="425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13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proofErr w:type="spellStart"/>
            <w:r>
              <w:rPr>
                <w:rFonts w:ascii="Arial" w:hAnsi="Arial" w:cs="Arial"/>
                <w:b/>
                <w:i/>
              </w:rPr>
              <w:t>45</w:t>
            </w:r>
            <w:proofErr w:type="spellEnd"/>
          </w:p>
        </w:tc>
        <w:tc>
          <w:tcPr>
            <w:tcW w:w="8295" w:type="dxa"/>
          </w:tcPr>
          <w:p>
            <w:pPr>
              <w:ind w:right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Zajednički ručak i </w:t>
            </w:r>
            <w:proofErr w:type="spellStart"/>
            <w:r>
              <w:rPr>
                <w:rFonts w:ascii="Arial" w:hAnsi="Arial" w:cs="Arial"/>
                <w:b/>
              </w:rPr>
              <w:t>networking</w:t>
            </w:r>
            <w:proofErr w:type="spellEnd"/>
          </w:p>
          <w:p>
            <w:pPr>
              <w:ind w:right="425"/>
              <w:rPr>
                <w:rFonts w:ascii="Arial" w:hAnsi="Arial" w:cs="Arial"/>
                <w:b/>
              </w:rPr>
            </w:pPr>
          </w:p>
        </w:tc>
      </w:tr>
    </w:tbl>
    <w:p>
      <w:pPr>
        <w:spacing w:after="120" w:line="360" w:lineRule="auto"/>
        <w:ind w:right="543"/>
        <w:rPr>
          <w:rFonts w:ascii="Arial" w:hAnsi="Arial" w:cs="Arial"/>
        </w:rPr>
      </w:pPr>
      <w:r>
        <w:rPr>
          <w:rFonts w:ascii="Arial" w:hAnsi="Arial" w:cs="Arial"/>
          <w:b/>
        </w:rPr>
        <w:t>Moderator</w:t>
      </w:r>
      <w:r>
        <w:rPr>
          <w:rFonts w:ascii="Arial" w:hAnsi="Arial" w:cs="Arial"/>
        </w:rPr>
        <w:t>: Biserka Sladović (HUP)</w:t>
      </w:r>
    </w:p>
    <w:sectPr>
      <w:headerReference w:type="default" r:id="rId9"/>
      <w:footerReference w:type="default" r:id="rId10"/>
      <w:pgSz w:w="11906" w:h="16838"/>
      <w:pgMar w:top="1501" w:right="566" w:bottom="156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ind w:left="142" w:hanging="142"/>
      <w:rPr>
        <w:i/>
        <w:sz w:val="20"/>
        <w:szCs w:val="20"/>
      </w:rPr>
    </w:pPr>
  </w:p>
  <w:p>
    <w:pPr>
      <w:pStyle w:val="Header"/>
      <w:rPr>
        <w:rFonts w:ascii="Arial" w:hAnsi="Arial" w:cs="Arial"/>
        <w:i/>
      </w:rPr>
    </w:pPr>
    <w:r>
      <w:rPr>
        <w:rFonts w:ascii="Arial" w:hAnsi="Arial" w:cs="Arial"/>
        <w:i/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2211955</wp:posOffset>
          </wp:positionH>
          <wp:positionV relativeFrom="paragraph">
            <wp:posOffset>472440</wp:posOffset>
          </wp:positionV>
          <wp:extent cx="1071245" cy="250825"/>
          <wp:effectExtent l="0" t="0" r="0" b="0"/>
          <wp:wrapNone/>
          <wp:docPr id="28" name="Slika 2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20"/>
        <w:szCs w:val="20"/>
      </w:rPr>
      <w:t xml:space="preserve">  </w:t>
    </w:r>
    <w:r>
      <w:rPr>
        <w:rFonts w:eastAsiaTheme="minorHAnsi" w:cs="Calibri"/>
        <w:b/>
        <w:bCs/>
        <w:noProof/>
        <w:color w:val="000000"/>
        <w:szCs w:val="23"/>
        <w:lang w:eastAsia="hr-HR"/>
      </w:rPr>
      <w:drawing>
        <wp:inline distT="0" distB="0" distL="0" distR="0">
          <wp:extent cx="1169232" cy="757629"/>
          <wp:effectExtent l="0" t="0" r="0" b="4445"/>
          <wp:docPr id="1" name="Picture 1" descr="\\HUPDC02\zajednicki\Logotipovi\HUP_puni_vertikalni_siro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UPDC02\zajednicki\Logotipovi\HUP_puni_vertikalni_siro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147" cy="75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z w:val="20"/>
        <w:szCs w:val="20"/>
      </w:rPr>
      <w:t xml:space="preserve">       </w:t>
    </w:r>
    <w:r>
      <w:rPr>
        <w:rFonts w:ascii="Arial" w:hAnsi="Arial" w:cs="Arial"/>
        <w:i/>
        <w:noProof/>
        <w:lang w:eastAsia="hr-HR"/>
      </w:rPr>
      <w:drawing>
        <wp:inline distT="0" distB="0" distL="0" distR="0">
          <wp:extent cx="476250" cy="459145"/>
          <wp:effectExtent l="0" t="0" r="0" b="0"/>
          <wp:docPr id="30" name="Picture 5" descr="znak i logo SSSH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i logo SSSH_2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8302" cy="461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 xml:space="preserve">                                       </w:t>
    </w:r>
    <w:r>
      <w:rPr>
        <w:rFonts w:ascii="Arial" w:hAnsi="Arial" w:cs="Arial"/>
        <w:i/>
        <w:noProof/>
        <w:lang w:eastAsia="hr-HR"/>
      </w:rPr>
      <w:drawing>
        <wp:inline distT="0" distB="0" distL="0" distR="0">
          <wp:extent cx="533400" cy="441435"/>
          <wp:effectExtent l="0" t="0" r="0" b="0"/>
          <wp:docPr id="31" name="Slika 31" descr="C:\Users\sradakovic.HUP\AppData\Local\Microsoft\Windows\Temporary Internet Files\Content.Outlook\QYYQXL7D\NHS logo HR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adakovic.HUP\AppData\Local\Microsoft\Windows\Temporary Internet Files\Content.Outlook\QYYQXL7D\NHS logo HRV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79" cy="44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 xml:space="preserve">     </w:t>
    </w:r>
    <w:r>
      <w:rPr>
        <w:rFonts w:ascii="Arial" w:hAnsi="Arial" w:cs="Arial"/>
        <w:i/>
        <w:noProof/>
        <w:lang w:eastAsia="hr-HR"/>
      </w:rPr>
      <w:drawing>
        <wp:inline distT="0" distB="0" distL="0" distR="0">
          <wp:extent cx="577298" cy="434058"/>
          <wp:effectExtent l="19050" t="0" r="0" b="0"/>
          <wp:docPr id="33" name="Picture 10" descr="logoSMH-IS-266x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H-IS-266x200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83881" cy="439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 xml:space="preserve">      </w:t>
    </w:r>
    <w:r>
      <w:rPr>
        <w:rFonts w:ascii="Arial" w:hAnsi="Arial" w:cs="Arial"/>
        <w:noProof/>
        <w:lang w:eastAsia="hr-HR"/>
      </w:rPr>
      <w:drawing>
        <wp:inline distT="0" distB="0" distL="0" distR="0">
          <wp:extent cx="437322" cy="437322"/>
          <wp:effectExtent l="19050" t="0" r="828" b="0"/>
          <wp:docPr id="34" name="Picture 11" descr="sg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h logo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437283" cy="43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 xml:space="preserve">     </w:t>
    </w:r>
    <w:r>
      <w:rPr>
        <w:rFonts w:ascii="Arial" w:hAnsi="Arial" w:cs="Arial"/>
        <w:noProof/>
        <w:lang w:eastAsia="hr-HR"/>
      </w:rPr>
      <w:drawing>
        <wp:inline distT="0" distB="0" distL="0" distR="0">
          <wp:extent cx="863545" cy="440409"/>
          <wp:effectExtent l="19050" t="0" r="0" b="0"/>
          <wp:docPr id="35" name="Picture 13" descr="stuh logo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h logo_300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864402" cy="440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</w:rPr>
      <w:t xml:space="preserve">  </w:t>
    </w:r>
  </w:p>
  <w:p>
    <w:pPr>
      <w:pStyle w:val="Header"/>
      <w:ind w:left="142" w:hanging="142"/>
      <w:rPr>
        <w:sz w:val="20"/>
        <w:szCs w:val="20"/>
      </w:rPr>
    </w:pPr>
  </w:p>
  <w:p>
    <w:pPr>
      <w:ind w:left="142" w:hanging="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ind w:left="-851" w:firstLine="567"/>
      <w:jc w:val="center"/>
      <w:rPr>
        <w:rFonts w:ascii="Arial" w:hAnsi="Arial" w:cs="Arial"/>
        <w:i/>
      </w:rPr>
    </w:pPr>
  </w:p>
  <w:p>
    <w:pPr>
      <w:pStyle w:val="Header"/>
      <w:ind w:left="-851" w:firstLine="567"/>
      <w:jc w:val="center"/>
      <w:rPr>
        <w:rFonts w:ascii="Arial" w:hAnsi="Arial" w:cs="Arial"/>
        <w:i/>
      </w:rPr>
    </w:pPr>
    <w:r>
      <w:rPr>
        <w:noProof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5753100</wp:posOffset>
          </wp:positionH>
          <wp:positionV relativeFrom="paragraph">
            <wp:posOffset>158115</wp:posOffset>
          </wp:positionV>
          <wp:extent cx="628650" cy="631190"/>
          <wp:effectExtent l="0" t="0" r="6350" b="3810"/>
          <wp:wrapSquare wrapText="bothSides"/>
          <wp:docPr id="16" name="Picture 66" descr="C:\Users\Korisnik\AppData\Local\Microsoft\Windows\Temporary Internet Files\Content.Word\ZnakLogo-H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Korisnik\AppData\Local\Microsoft\Windows\Temporary Internet Files\Content.Word\ZnakLogo-H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</w:rPr>
      <w:t xml:space="preserve">  </w:t>
    </w:r>
  </w:p>
  <w:p>
    <w:pPr>
      <w:autoSpaceDE w:val="0"/>
      <w:autoSpaceDN w:val="0"/>
      <w:adjustRightInd w:val="0"/>
      <w:spacing w:after="0" w:line="240" w:lineRule="auto"/>
      <w:rPr>
        <w:rFonts w:eastAsiaTheme="minorHAnsi" w:cs="Calibri"/>
        <w:b/>
        <w:bCs/>
        <w:color w:val="000000"/>
        <w:szCs w:val="23"/>
      </w:rPr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4317365</wp:posOffset>
          </wp:positionH>
          <wp:positionV relativeFrom="paragraph">
            <wp:posOffset>-5715</wp:posOffset>
          </wp:positionV>
          <wp:extent cx="1240790" cy="739775"/>
          <wp:effectExtent l="0" t="0" r="3810" b="0"/>
          <wp:wrapSquare wrapText="bothSides"/>
          <wp:docPr id="14" name="Picture 65" descr="C:\Users\Korisnik\AppData\Local\Microsoft\Windows\Temporary Internet Files\Content.Word\Strukturni-i-investicijski-fondovi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Korisnik\AppData\Local\Microsoft\Windows\Temporary Internet Files\Content.Word\Strukturni-i-investicijski-fondovi-logo-smal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lang w:eastAsia="hr-H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2856865</wp:posOffset>
          </wp:positionH>
          <wp:positionV relativeFrom="paragraph">
            <wp:posOffset>130810</wp:posOffset>
          </wp:positionV>
          <wp:extent cx="975995" cy="595630"/>
          <wp:effectExtent l="0" t="0" r="0" b="0"/>
          <wp:wrapSquare wrapText="bothSides"/>
          <wp:docPr id="15" name="Picture 67" descr="http://europa.eu/about-eu/basic-information/symbols/images/flag_yellow_high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europa.eu/about-eu/basic-information/symbols/images/flag_yellow_high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HAnsi" w:cs="Calibri"/>
        <w:b/>
        <w:bCs/>
        <w:noProof/>
        <w:color w:val="000000"/>
        <w:szCs w:val="23"/>
        <w:lang w:eastAsia="hr-HR"/>
      </w:rPr>
      <w:drawing>
        <wp:inline distT="0" distB="0" distL="0" distR="0">
          <wp:extent cx="1605915" cy="450890"/>
          <wp:effectExtent l="0" t="0" r="0" b="6350"/>
          <wp:docPr id="2" name="Picture 2" descr="SSD:Users:wizzy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SD:Users:wizzy:Desktop: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67" cy="451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Theme="minorHAnsi" w:cs="Calibri"/>
        <w:b/>
        <w:bCs/>
        <w:color w:val="000000"/>
        <w:szCs w:val="23"/>
      </w:rPr>
      <w:tab/>
    </w:r>
  </w:p>
  <w:p>
    <w:pPr>
      <w:autoSpaceDE w:val="0"/>
      <w:autoSpaceDN w:val="0"/>
      <w:adjustRightInd w:val="0"/>
      <w:spacing w:after="0" w:line="240" w:lineRule="auto"/>
      <w:rPr>
        <w:rFonts w:eastAsiaTheme="minorHAnsi" w:cs="Calibri"/>
        <w:b/>
        <w:bCs/>
        <w:color w:val="000000"/>
        <w:szCs w:val="23"/>
      </w:rPr>
    </w:pPr>
  </w:p>
  <w:p>
    <w:pPr>
      <w:autoSpaceDE w:val="0"/>
      <w:autoSpaceDN w:val="0"/>
      <w:adjustRightInd w:val="0"/>
      <w:spacing w:after="0" w:line="240" w:lineRule="auto"/>
      <w:rPr>
        <w:rFonts w:eastAsiaTheme="minorHAnsi" w:cs="Calibri"/>
        <w:b/>
        <w:bCs/>
        <w:color w:val="000000"/>
        <w:szCs w:val="23"/>
      </w:rPr>
    </w:pPr>
  </w:p>
  <w:p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color w:val="000000"/>
        <w:sz w:val="20"/>
        <w:szCs w:val="23"/>
      </w:rPr>
    </w:pPr>
    <w:r>
      <w:rPr>
        <w:rFonts w:ascii="Arial" w:eastAsiaTheme="minorHAnsi" w:hAnsi="Arial" w:cs="Arial"/>
        <w:bCs/>
        <w:color w:val="000000"/>
        <w:sz w:val="20"/>
        <w:szCs w:val="23"/>
      </w:rPr>
      <w:t>Ulaganje u budućnost</w:t>
    </w:r>
  </w:p>
  <w:p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bCs/>
        <w:color w:val="000000"/>
        <w:sz w:val="20"/>
        <w:szCs w:val="23"/>
      </w:rPr>
    </w:pPr>
    <w:r>
      <w:rPr>
        <w:rFonts w:ascii="Arial" w:eastAsiaTheme="minorHAnsi" w:hAnsi="Arial" w:cs="Arial"/>
        <w:bCs/>
        <w:color w:val="000000"/>
        <w:sz w:val="20"/>
        <w:szCs w:val="23"/>
      </w:rPr>
      <w:t>Projekt je sufinancirala Europska unija iz</w:t>
    </w:r>
  </w:p>
  <w:p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bCs/>
        <w:color w:val="000000"/>
        <w:sz w:val="20"/>
        <w:szCs w:val="23"/>
      </w:rPr>
    </w:pPr>
    <w:r>
      <w:rPr>
        <w:rFonts w:ascii="Arial" w:eastAsiaTheme="minorHAnsi" w:hAnsi="Arial" w:cs="Arial"/>
        <w:bCs/>
        <w:color w:val="000000"/>
        <w:sz w:val="20"/>
        <w:szCs w:val="23"/>
      </w:rPr>
      <w:t>Europskog socijalnog fonda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30C"/>
    <w:multiLevelType w:val="hybridMultilevel"/>
    <w:tmpl w:val="7D3E2C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F585D"/>
    <w:multiLevelType w:val="hybridMultilevel"/>
    <w:tmpl w:val="6AA24CB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8305C"/>
    <w:multiLevelType w:val="multilevel"/>
    <w:tmpl w:val="E5627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>
    <w:nsid w:val="048751CF"/>
    <w:multiLevelType w:val="hybridMultilevel"/>
    <w:tmpl w:val="63426BE2"/>
    <w:lvl w:ilvl="0" w:tplc="6AF83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732A8"/>
    <w:multiLevelType w:val="multilevel"/>
    <w:tmpl w:val="157EFB5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8282A20"/>
    <w:multiLevelType w:val="multilevel"/>
    <w:tmpl w:val="6A887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>
    <w:nsid w:val="087A6E8B"/>
    <w:multiLevelType w:val="multilevel"/>
    <w:tmpl w:val="E5627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>
    <w:nsid w:val="11F93F4E"/>
    <w:multiLevelType w:val="hybridMultilevel"/>
    <w:tmpl w:val="895293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E3399"/>
    <w:multiLevelType w:val="hybridMultilevel"/>
    <w:tmpl w:val="86DC1CE0"/>
    <w:lvl w:ilvl="0" w:tplc="6AF83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CD7AA0"/>
    <w:multiLevelType w:val="hybridMultilevel"/>
    <w:tmpl w:val="46FC9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010AA"/>
    <w:multiLevelType w:val="multilevel"/>
    <w:tmpl w:val="134EDD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1">
    <w:nsid w:val="1F761EB1"/>
    <w:multiLevelType w:val="hybridMultilevel"/>
    <w:tmpl w:val="127A4C86"/>
    <w:lvl w:ilvl="0" w:tplc="0876D6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5375D4"/>
    <w:multiLevelType w:val="hybridMultilevel"/>
    <w:tmpl w:val="543A882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3864728"/>
    <w:multiLevelType w:val="multilevel"/>
    <w:tmpl w:val="E5627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>
    <w:nsid w:val="3F061394"/>
    <w:multiLevelType w:val="hybridMultilevel"/>
    <w:tmpl w:val="5D1EC576"/>
    <w:lvl w:ilvl="0" w:tplc="6AF83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4D3F4A"/>
    <w:multiLevelType w:val="hybridMultilevel"/>
    <w:tmpl w:val="57164CF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D317F6"/>
    <w:multiLevelType w:val="hybridMultilevel"/>
    <w:tmpl w:val="E3060D98"/>
    <w:lvl w:ilvl="0" w:tplc="8C681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85AC7"/>
    <w:multiLevelType w:val="hybridMultilevel"/>
    <w:tmpl w:val="8294DAA4"/>
    <w:lvl w:ilvl="0" w:tplc="3B06BD7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F292A95"/>
    <w:multiLevelType w:val="multilevel"/>
    <w:tmpl w:val="E5627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>
    <w:nsid w:val="540B7B4A"/>
    <w:multiLevelType w:val="multilevel"/>
    <w:tmpl w:val="E5627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0">
    <w:nsid w:val="5C0D27A6"/>
    <w:multiLevelType w:val="hybridMultilevel"/>
    <w:tmpl w:val="695C8E56"/>
    <w:lvl w:ilvl="0" w:tplc="6AF83C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424452"/>
    <w:multiLevelType w:val="multilevel"/>
    <w:tmpl w:val="6A887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>
    <w:nsid w:val="69F63E08"/>
    <w:multiLevelType w:val="multilevel"/>
    <w:tmpl w:val="D58025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4105405"/>
    <w:multiLevelType w:val="hybridMultilevel"/>
    <w:tmpl w:val="34F03E9E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765CBE"/>
    <w:multiLevelType w:val="multilevel"/>
    <w:tmpl w:val="5CDA6B7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9ED3F48"/>
    <w:multiLevelType w:val="multilevel"/>
    <w:tmpl w:val="ACA026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9"/>
  </w:num>
  <w:num w:numId="5">
    <w:abstractNumId w:val="2"/>
  </w:num>
  <w:num w:numId="6">
    <w:abstractNumId w:val="17"/>
  </w:num>
  <w:num w:numId="7">
    <w:abstractNumId w:val="9"/>
  </w:num>
  <w:num w:numId="8">
    <w:abstractNumId w:val="16"/>
  </w:num>
  <w:num w:numId="9">
    <w:abstractNumId w:val="17"/>
  </w:num>
  <w:num w:numId="10">
    <w:abstractNumId w:val="0"/>
  </w:num>
  <w:num w:numId="11">
    <w:abstractNumId w:val="14"/>
  </w:num>
  <w:num w:numId="12">
    <w:abstractNumId w:val="20"/>
  </w:num>
  <w:num w:numId="13">
    <w:abstractNumId w:val="1"/>
  </w:num>
  <w:num w:numId="14">
    <w:abstractNumId w:val="23"/>
  </w:num>
  <w:num w:numId="15">
    <w:abstractNumId w:val="15"/>
  </w:num>
  <w:num w:numId="16">
    <w:abstractNumId w:val="21"/>
  </w:num>
  <w:num w:numId="17">
    <w:abstractNumId w:val="25"/>
  </w:num>
  <w:num w:numId="18">
    <w:abstractNumId w:val="3"/>
  </w:num>
  <w:num w:numId="19">
    <w:abstractNumId w:val="8"/>
  </w:num>
  <w:num w:numId="20">
    <w:abstractNumId w:val="4"/>
  </w:num>
  <w:num w:numId="21">
    <w:abstractNumId w:val="24"/>
  </w:num>
  <w:num w:numId="22">
    <w:abstractNumId w:val="2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0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eastAsiaTheme="minorHAnsi" w:cs="Calibri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customStyle="1" w:styleId="hps">
    <w:name w:val="hps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eastAsiaTheme="minorHAnsi" w:cs="Calibri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customStyle="1" w:styleId="hps">
    <w:name w:val="hps"/>
    <w:basedOn w:val="DefaultParagraphFont"/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7" Type="http://schemas.openxmlformats.org/officeDocument/2006/relationships/image" Target="media/image11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6" Type="http://schemas.openxmlformats.org/officeDocument/2006/relationships/image" Target="media/image10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35D6-7A09-4283-94E4-BEDF7E5E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Horvatić</dc:creator>
  <cp:lastModifiedBy>Lidija Horvatić</cp:lastModifiedBy>
  <cp:revision>3</cp:revision>
  <cp:lastPrinted>2015-01-18T23:23:00Z</cp:lastPrinted>
  <dcterms:created xsi:type="dcterms:W3CDTF">2015-02-04T12:02:00Z</dcterms:created>
  <dcterms:modified xsi:type="dcterms:W3CDTF">2015-02-04T12:02:00Z</dcterms:modified>
</cp:coreProperties>
</file>